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BD" w:rsidRDefault="009147BD" w:rsidP="00DC6426">
      <w:pPr>
        <w:pStyle w:val="24"/>
        <w:shd w:val="clear" w:color="auto" w:fill="auto"/>
        <w:spacing w:before="0" w:after="0" w:line="240" w:lineRule="auto"/>
        <w:contextualSpacing/>
        <w:rPr>
          <w:sz w:val="24"/>
          <w:szCs w:val="24"/>
          <w:lang w:val="ru-RU"/>
        </w:rPr>
      </w:pPr>
    </w:p>
    <w:p w:rsidR="009147BD" w:rsidRPr="00FD7721" w:rsidRDefault="009147BD" w:rsidP="009147BD">
      <w:pPr>
        <w:tabs>
          <w:tab w:val="left" w:pos="5760"/>
        </w:tabs>
        <w:spacing w:after="0" w:line="240" w:lineRule="auto"/>
        <w:contextualSpacing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147BD" w:rsidRPr="00FD7721" w:rsidRDefault="009147BD" w:rsidP="00122CB0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Приложение 1 </w:t>
      </w:r>
    </w:p>
    <w:p w:rsidR="009147BD" w:rsidRPr="00FD7721" w:rsidRDefault="00CD6A52" w:rsidP="00122CB0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 Р</w:t>
      </w:r>
      <w:r w:rsidR="00122CB0"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аспоряжению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Г</w:t>
      </w:r>
      <w:r w:rsidR="009147BD"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лавы </w:t>
      </w:r>
    </w:p>
    <w:p w:rsidR="009147BD" w:rsidRPr="00FD7721" w:rsidRDefault="009147BD" w:rsidP="009147BD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местной администрации </w:t>
      </w:r>
      <w:proofErr w:type="gramStart"/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proofErr w:type="gramEnd"/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.о. Баксан</w:t>
      </w:r>
    </w:p>
    <w:p w:rsidR="00644E45" w:rsidRPr="00B2591B" w:rsidRDefault="00B2591B" w:rsidP="00644E45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B2591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№  </w:t>
      </w:r>
      <w:r w:rsidRPr="00B2591B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05    «</w:t>
      </w:r>
      <w:r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 </w:t>
      </w:r>
      <w:r w:rsidRPr="00B2591B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25</w:t>
      </w:r>
      <w:r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 </w:t>
      </w:r>
      <w:r w:rsidR="00644E45" w:rsidRPr="00B2591B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»</w:t>
      </w:r>
      <w:r w:rsidRPr="00B2591B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   01    2024</w:t>
      </w:r>
      <w:r w:rsidR="00644E45" w:rsidRPr="00B2591B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г.</w:t>
      </w:r>
    </w:p>
    <w:p w:rsidR="009147BD" w:rsidRPr="00B2591B" w:rsidRDefault="009147BD" w:rsidP="009147BD">
      <w:pPr>
        <w:tabs>
          <w:tab w:val="left" w:pos="5760"/>
        </w:tabs>
        <w:spacing w:after="0" w:line="240" w:lineRule="auto"/>
        <w:contextualSpacing/>
        <w:jc w:val="right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:rsidR="00646B74" w:rsidRPr="00FD7721" w:rsidRDefault="00646B74" w:rsidP="00646B74">
      <w:pPr>
        <w:spacing w:after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FD7721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План мероприятий («дорожная карта») по снижению</w:t>
      </w:r>
    </w:p>
    <w:p w:rsidR="00646B74" w:rsidRPr="00FD7721" w:rsidRDefault="00646B74" w:rsidP="00646B74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D7721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рисков нарушения антимонопольного законодательства </w:t>
      </w:r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(</w:t>
      </w:r>
      <w:proofErr w:type="gramStart"/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антимонопольный</w:t>
      </w:r>
      <w:proofErr w:type="gramEnd"/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комплаенс</w:t>
      </w:r>
      <w:proofErr w:type="spellEnd"/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</w:p>
    <w:p w:rsidR="009147BD" w:rsidRPr="00FD7721" w:rsidRDefault="009147BD" w:rsidP="00646B7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местной администрации </w:t>
      </w:r>
      <w:r w:rsidR="00644E45">
        <w:rPr>
          <w:rFonts w:ascii="Times New Roman" w:hAnsi="Times New Roman" w:cs="Times New Roman"/>
          <w:i w:val="0"/>
          <w:sz w:val="28"/>
          <w:szCs w:val="28"/>
          <w:lang w:val="ru-RU"/>
        </w:rPr>
        <w:t>городского округа Баксан на 2024</w:t>
      </w:r>
      <w:r w:rsidRPr="00FD7721">
        <w:rPr>
          <w:rFonts w:ascii="Times New Roman" w:hAnsi="Times New Roman" w:cs="Times New Roman"/>
          <w:i w:val="0"/>
          <w:sz w:val="28"/>
          <w:szCs w:val="28"/>
          <w:lang w:val="ru-RU"/>
        </w:rPr>
        <w:t>год</w:t>
      </w:r>
    </w:p>
    <w:p w:rsidR="009147BD" w:rsidRPr="00FD7721" w:rsidRDefault="009147BD" w:rsidP="009147BD">
      <w:pPr>
        <w:spacing w:after="0"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46B74" w:rsidRPr="00FD7721" w:rsidRDefault="00646B74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794"/>
        <w:gridCol w:w="3142"/>
        <w:gridCol w:w="3969"/>
        <w:gridCol w:w="1842"/>
        <w:gridCol w:w="2835"/>
        <w:gridCol w:w="2204"/>
      </w:tblGrid>
      <w:tr w:rsidR="00122CB0" w:rsidRPr="00451F16" w:rsidTr="00FD7721">
        <w:tc>
          <w:tcPr>
            <w:tcW w:w="794" w:type="dxa"/>
          </w:tcPr>
          <w:p w:rsidR="00122CB0" w:rsidRPr="00451F16" w:rsidRDefault="00122CB0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451F16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451F16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142" w:type="dxa"/>
          </w:tcPr>
          <w:p w:rsidR="00122CB0" w:rsidRPr="00451F16" w:rsidRDefault="00122CB0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1F16">
              <w:rPr>
                <w:sz w:val="24"/>
                <w:szCs w:val="24"/>
                <w:lang w:val="ru-RU"/>
              </w:rPr>
              <w:t>Комплаенс-риск</w:t>
            </w:r>
            <w:proofErr w:type="spellEnd"/>
          </w:p>
        </w:tc>
        <w:tc>
          <w:tcPr>
            <w:tcW w:w="3969" w:type="dxa"/>
          </w:tcPr>
          <w:p w:rsidR="00122CB0" w:rsidRPr="00451F16" w:rsidRDefault="00122CB0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Мероприятия по минимизации и устранению рисков</w:t>
            </w:r>
          </w:p>
        </w:tc>
        <w:tc>
          <w:tcPr>
            <w:tcW w:w="1842" w:type="dxa"/>
          </w:tcPr>
          <w:p w:rsidR="00122CB0" w:rsidRPr="00451F16" w:rsidRDefault="00122CB0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Срок выполн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 xml:space="preserve">ния </w:t>
            </w:r>
            <w:r w:rsidR="003E0EA0" w:rsidRPr="00451F16">
              <w:rPr>
                <w:sz w:val="24"/>
                <w:szCs w:val="24"/>
                <w:lang w:val="ru-RU"/>
              </w:rPr>
              <w:t>меропри</w:t>
            </w:r>
            <w:r w:rsidR="003E0EA0" w:rsidRPr="00451F16">
              <w:rPr>
                <w:sz w:val="24"/>
                <w:szCs w:val="24"/>
                <w:lang w:val="ru-RU"/>
              </w:rPr>
              <w:t>я</w:t>
            </w:r>
            <w:r w:rsidR="003E0EA0" w:rsidRPr="00451F16">
              <w:rPr>
                <w:sz w:val="24"/>
                <w:szCs w:val="24"/>
                <w:lang w:val="ru-RU"/>
              </w:rPr>
              <w:t>тия</w:t>
            </w:r>
          </w:p>
        </w:tc>
        <w:tc>
          <w:tcPr>
            <w:tcW w:w="2835" w:type="dxa"/>
          </w:tcPr>
          <w:p w:rsidR="00122CB0" w:rsidRPr="00451F16" w:rsidRDefault="003E0EA0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Планируемый результат</w:t>
            </w:r>
          </w:p>
        </w:tc>
        <w:tc>
          <w:tcPr>
            <w:tcW w:w="2204" w:type="dxa"/>
          </w:tcPr>
          <w:p w:rsidR="00122CB0" w:rsidRPr="00451F16" w:rsidRDefault="003E0EA0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122CB0" w:rsidRPr="00451F16" w:rsidTr="00FD7721">
        <w:tc>
          <w:tcPr>
            <w:tcW w:w="794" w:type="dxa"/>
          </w:tcPr>
          <w:p w:rsidR="00122CB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42" w:type="dxa"/>
          </w:tcPr>
          <w:p w:rsidR="00122CB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122CB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:rsidR="00122CB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122CB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04" w:type="dxa"/>
          </w:tcPr>
          <w:p w:rsidR="00122CB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6</w:t>
            </w:r>
          </w:p>
        </w:tc>
      </w:tr>
      <w:tr w:rsidR="003E0EA0" w:rsidRPr="00B2591B" w:rsidTr="00FD7721">
        <w:tc>
          <w:tcPr>
            <w:tcW w:w="794" w:type="dxa"/>
          </w:tcPr>
          <w:p w:rsidR="003E0EA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42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Выявление в муниципал</w:t>
            </w:r>
            <w:r w:rsidRPr="00451F16">
              <w:rPr>
                <w:sz w:val="24"/>
                <w:szCs w:val="24"/>
                <w:lang w:val="ru-RU"/>
              </w:rPr>
              <w:t>ь</w:t>
            </w:r>
            <w:r w:rsidRPr="00451F16">
              <w:rPr>
                <w:sz w:val="24"/>
                <w:szCs w:val="24"/>
                <w:lang w:val="ru-RU"/>
              </w:rPr>
              <w:t>ных нормативных правовых актах (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далее-НПА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>) полож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ний, которые могут приве</w:t>
            </w:r>
            <w:r w:rsidRPr="00451F16">
              <w:rPr>
                <w:sz w:val="24"/>
                <w:szCs w:val="24"/>
                <w:lang w:val="ru-RU"/>
              </w:rPr>
              <w:t>с</w:t>
            </w:r>
            <w:r w:rsidRPr="00451F16">
              <w:rPr>
                <w:sz w:val="24"/>
                <w:szCs w:val="24"/>
                <w:lang w:val="ru-RU"/>
              </w:rPr>
              <w:t>ти к нарушению антимон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польного законодательства</w:t>
            </w:r>
          </w:p>
        </w:tc>
        <w:tc>
          <w:tcPr>
            <w:tcW w:w="3969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Мониторинги и анализ практики применения антимонопольного размещения на официальном сайте местной администрации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 исчерпывающего перечня дейс</w:t>
            </w:r>
            <w:r w:rsidRPr="00451F16">
              <w:rPr>
                <w:sz w:val="24"/>
                <w:szCs w:val="24"/>
                <w:lang w:val="ru-RU"/>
              </w:rPr>
              <w:t>т</w:t>
            </w:r>
            <w:r w:rsidRPr="00451F16">
              <w:rPr>
                <w:sz w:val="24"/>
                <w:szCs w:val="24"/>
                <w:lang w:val="ru-RU"/>
              </w:rPr>
              <w:t>вующих НПА; анализ проектов НПА на наличие положений, нар</w:t>
            </w:r>
            <w:r w:rsidRPr="00451F16">
              <w:rPr>
                <w:sz w:val="24"/>
                <w:szCs w:val="24"/>
                <w:lang w:val="ru-RU"/>
              </w:rPr>
              <w:t>у</w:t>
            </w:r>
            <w:r w:rsidRPr="00451F16">
              <w:rPr>
                <w:sz w:val="24"/>
                <w:szCs w:val="24"/>
                <w:lang w:val="ru-RU"/>
              </w:rPr>
              <w:t>шающих антимонопольное закон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дательство; проведение аппаратной учебы, направленной на минимиз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ции и устранению 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комплаенс-рисков</w:t>
            </w:r>
            <w:proofErr w:type="spellEnd"/>
          </w:p>
          <w:p w:rsidR="00FD7721" w:rsidRPr="00451F16" w:rsidRDefault="00FD7721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  <w:p w:rsidR="00CD6A52" w:rsidRPr="00451F16" w:rsidRDefault="00CD6A52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835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Отсутствие в НПА, п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ложений, которые могут привести к нарушению антимонопольного зак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нодательства; подгото</w:t>
            </w:r>
            <w:r w:rsidRPr="00451F16">
              <w:rPr>
                <w:sz w:val="24"/>
                <w:szCs w:val="24"/>
                <w:lang w:val="ru-RU"/>
              </w:rPr>
              <w:t>в</w:t>
            </w:r>
            <w:r w:rsidRPr="00451F16">
              <w:rPr>
                <w:sz w:val="24"/>
                <w:szCs w:val="24"/>
                <w:lang w:val="ru-RU"/>
              </w:rPr>
              <w:t>ка документов без нар</w:t>
            </w:r>
            <w:r w:rsidRPr="00451F16">
              <w:rPr>
                <w:sz w:val="24"/>
                <w:szCs w:val="24"/>
                <w:lang w:val="ru-RU"/>
              </w:rPr>
              <w:t>у</w:t>
            </w:r>
            <w:r w:rsidRPr="00451F16">
              <w:rPr>
                <w:sz w:val="24"/>
                <w:szCs w:val="24"/>
                <w:lang w:val="ru-RU"/>
              </w:rPr>
              <w:t>шения антимонопольн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 xml:space="preserve">го законодательства </w:t>
            </w:r>
          </w:p>
        </w:tc>
        <w:tc>
          <w:tcPr>
            <w:tcW w:w="2204" w:type="dxa"/>
          </w:tcPr>
          <w:p w:rsidR="003E0EA0" w:rsidRPr="00451F16" w:rsidRDefault="009334E6" w:rsidP="009334E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Структурные по</w:t>
            </w:r>
            <w:r w:rsidRPr="00451F16">
              <w:rPr>
                <w:sz w:val="24"/>
                <w:szCs w:val="24"/>
                <w:lang w:val="ru-RU"/>
              </w:rPr>
              <w:t>д</w:t>
            </w:r>
            <w:r w:rsidRPr="00451F16">
              <w:rPr>
                <w:sz w:val="24"/>
                <w:szCs w:val="24"/>
                <w:lang w:val="ru-RU"/>
              </w:rPr>
              <w:t>разделения  мес</w:t>
            </w:r>
            <w:r w:rsidRPr="00451F16">
              <w:rPr>
                <w:sz w:val="24"/>
                <w:szCs w:val="24"/>
                <w:lang w:val="ru-RU"/>
              </w:rPr>
              <w:t>т</w:t>
            </w:r>
            <w:r w:rsidRPr="00451F16">
              <w:rPr>
                <w:sz w:val="24"/>
                <w:szCs w:val="24"/>
                <w:lang w:val="ru-RU"/>
              </w:rPr>
              <w:t>ной администр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</w:t>
            </w:r>
          </w:p>
        </w:tc>
      </w:tr>
      <w:tr w:rsidR="003E0EA0" w:rsidRPr="00B2591B" w:rsidTr="00FD7721">
        <w:tc>
          <w:tcPr>
            <w:tcW w:w="794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42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Выявление в контрактах, договорах, соглашениях п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ложений, которые могут привести к нарушению а</w:t>
            </w:r>
            <w:r w:rsidRPr="00451F16">
              <w:rPr>
                <w:sz w:val="24"/>
                <w:szCs w:val="24"/>
                <w:lang w:val="ru-RU"/>
              </w:rPr>
              <w:t>н</w:t>
            </w:r>
            <w:r w:rsidRPr="00451F16">
              <w:rPr>
                <w:sz w:val="24"/>
                <w:szCs w:val="24"/>
                <w:lang w:val="ru-RU"/>
              </w:rPr>
              <w:t>тимонопольного законод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тельства </w:t>
            </w:r>
          </w:p>
        </w:tc>
        <w:tc>
          <w:tcPr>
            <w:tcW w:w="3969" w:type="dxa"/>
          </w:tcPr>
          <w:p w:rsidR="003E0EA0" w:rsidRPr="00451F16" w:rsidRDefault="009334E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Мониторинг и анализ практики применения антимонопольного з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конодательства; анализ </w:t>
            </w:r>
            <w:r w:rsidR="007E6EB0" w:rsidRPr="00451F16">
              <w:rPr>
                <w:sz w:val="24"/>
                <w:szCs w:val="24"/>
                <w:lang w:val="ru-RU"/>
              </w:rPr>
              <w:t>проектов</w:t>
            </w:r>
            <w:r w:rsidRPr="00451F16">
              <w:rPr>
                <w:sz w:val="24"/>
                <w:szCs w:val="24"/>
                <w:lang w:val="ru-RU"/>
              </w:rPr>
              <w:t xml:space="preserve"> </w:t>
            </w:r>
            <w:r w:rsidR="007E6EB0" w:rsidRPr="00451F16">
              <w:rPr>
                <w:sz w:val="24"/>
                <w:szCs w:val="24"/>
                <w:lang w:val="ru-RU"/>
              </w:rPr>
              <w:t>контрактов, договоров, соглашений на наличие положений, наруша</w:t>
            </w:r>
            <w:r w:rsidR="007E6EB0" w:rsidRPr="00451F16">
              <w:rPr>
                <w:sz w:val="24"/>
                <w:szCs w:val="24"/>
                <w:lang w:val="ru-RU"/>
              </w:rPr>
              <w:t>ю</w:t>
            </w:r>
            <w:r w:rsidR="007E6EB0" w:rsidRPr="00451F16">
              <w:rPr>
                <w:sz w:val="24"/>
                <w:szCs w:val="24"/>
                <w:lang w:val="ru-RU"/>
              </w:rPr>
              <w:t>щих антимонопольное законод</w:t>
            </w:r>
            <w:r w:rsidR="007E6EB0" w:rsidRPr="00451F16">
              <w:rPr>
                <w:sz w:val="24"/>
                <w:szCs w:val="24"/>
                <w:lang w:val="ru-RU"/>
              </w:rPr>
              <w:t>а</w:t>
            </w:r>
            <w:r w:rsidR="007E6EB0" w:rsidRPr="00451F16">
              <w:rPr>
                <w:sz w:val="24"/>
                <w:szCs w:val="24"/>
                <w:lang w:val="ru-RU"/>
              </w:rPr>
              <w:lastRenderedPageBreak/>
              <w:t>тельство; проведение аппаратной учебы, направленной на  минимиз</w:t>
            </w:r>
            <w:r w:rsidR="007E6EB0" w:rsidRPr="00451F16">
              <w:rPr>
                <w:sz w:val="24"/>
                <w:szCs w:val="24"/>
                <w:lang w:val="ru-RU"/>
              </w:rPr>
              <w:t>а</w:t>
            </w:r>
            <w:r w:rsidR="007E6EB0" w:rsidRPr="00451F16">
              <w:rPr>
                <w:sz w:val="24"/>
                <w:szCs w:val="24"/>
                <w:lang w:val="ru-RU"/>
              </w:rPr>
              <w:t xml:space="preserve">цию и устранение </w:t>
            </w:r>
            <w:proofErr w:type="spellStart"/>
            <w:r w:rsidR="007E6EB0" w:rsidRPr="00451F16">
              <w:rPr>
                <w:sz w:val="24"/>
                <w:szCs w:val="24"/>
                <w:lang w:val="ru-RU"/>
              </w:rPr>
              <w:t>компланс-рисков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3E0EA0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lastRenderedPageBreak/>
              <w:t xml:space="preserve">Постоянно </w:t>
            </w:r>
          </w:p>
        </w:tc>
        <w:tc>
          <w:tcPr>
            <w:tcW w:w="2835" w:type="dxa"/>
          </w:tcPr>
          <w:p w:rsidR="003E0EA0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Отсутствие в контрактах, договорах соглашениях положений, которые м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гут привести к наруш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нию антимонопольного законодательства; подг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lastRenderedPageBreak/>
              <w:t>товка документов без нарушения антимон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польного законодател</w:t>
            </w:r>
            <w:r w:rsidRPr="00451F16">
              <w:rPr>
                <w:sz w:val="24"/>
                <w:szCs w:val="24"/>
                <w:lang w:val="ru-RU"/>
              </w:rPr>
              <w:t>ь</w:t>
            </w:r>
            <w:r w:rsidRPr="00451F16">
              <w:rPr>
                <w:sz w:val="24"/>
                <w:szCs w:val="24"/>
                <w:lang w:val="ru-RU"/>
              </w:rPr>
              <w:t xml:space="preserve">ства </w:t>
            </w:r>
          </w:p>
        </w:tc>
        <w:tc>
          <w:tcPr>
            <w:tcW w:w="2204" w:type="dxa"/>
          </w:tcPr>
          <w:p w:rsidR="003E0EA0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lastRenderedPageBreak/>
              <w:t>Административно-правовой отдел местной админ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 xml:space="preserve">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</w:t>
            </w:r>
          </w:p>
          <w:p w:rsidR="007E6EB0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  <w:p w:rsidR="007E6EB0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Отдел 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ЭАПиМЗ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 xml:space="preserve"> </w:t>
            </w:r>
            <w:r w:rsidRPr="00451F16">
              <w:rPr>
                <w:sz w:val="24"/>
                <w:szCs w:val="24"/>
                <w:lang w:val="ru-RU"/>
              </w:rPr>
              <w:lastRenderedPageBreak/>
              <w:t>местной админ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 xml:space="preserve">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</w:t>
            </w:r>
          </w:p>
        </w:tc>
      </w:tr>
      <w:tr w:rsidR="009334E6" w:rsidRPr="00B2591B" w:rsidTr="00FD7721">
        <w:tc>
          <w:tcPr>
            <w:tcW w:w="794" w:type="dxa"/>
          </w:tcPr>
          <w:p w:rsidR="009334E6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142" w:type="dxa"/>
          </w:tcPr>
          <w:p w:rsidR="009334E6" w:rsidRPr="00451F16" w:rsidRDefault="007E6E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Выявление нарушений а</w:t>
            </w:r>
            <w:r w:rsidRPr="00451F16">
              <w:rPr>
                <w:sz w:val="24"/>
                <w:szCs w:val="24"/>
                <w:lang w:val="ru-RU"/>
              </w:rPr>
              <w:t>н</w:t>
            </w:r>
            <w:r w:rsidRPr="00451F16">
              <w:rPr>
                <w:sz w:val="24"/>
                <w:szCs w:val="24"/>
                <w:lang w:val="ru-RU"/>
              </w:rPr>
              <w:t>тимонопольного законод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>тельства при осуществл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нии закупок товаров, работ, услуг (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далее-закупки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>) для муниципальных нужд: включение в описание об</w:t>
            </w:r>
            <w:r w:rsidRPr="00451F16">
              <w:rPr>
                <w:sz w:val="24"/>
                <w:szCs w:val="24"/>
                <w:lang w:val="ru-RU"/>
              </w:rPr>
              <w:t>ъ</w:t>
            </w:r>
            <w:r w:rsidRPr="00451F16">
              <w:rPr>
                <w:sz w:val="24"/>
                <w:szCs w:val="24"/>
                <w:lang w:val="ru-RU"/>
              </w:rPr>
              <w:t>екта закупки требований, влекущих за собой огран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>чение количества участн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>ков закупки; нарушение п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рядка определения и обо</w:t>
            </w:r>
            <w:r w:rsidRPr="00451F16">
              <w:rPr>
                <w:sz w:val="24"/>
                <w:szCs w:val="24"/>
                <w:lang w:val="ru-RU"/>
              </w:rPr>
              <w:t>с</w:t>
            </w:r>
            <w:r w:rsidRPr="00451F16">
              <w:rPr>
                <w:sz w:val="24"/>
                <w:szCs w:val="24"/>
                <w:lang w:val="ru-RU"/>
              </w:rPr>
              <w:t>нования начальной (макс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>мальной) цены муниц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>пального контракта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 xml:space="preserve"> </w:t>
            </w:r>
            <w:r w:rsidR="00D347F3" w:rsidRPr="00451F16">
              <w:rPr>
                <w:sz w:val="24"/>
                <w:szCs w:val="24"/>
                <w:lang w:val="ru-RU"/>
              </w:rPr>
              <w:t>;</w:t>
            </w:r>
            <w:proofErr w:type="gramEnd"/>
            <w:r w:rsidR="00D347F3" w:rsidRPr="00451F16">
              <w:rPr>
                <w:sz w:val="24"/>
                <w:szCs w:val="24"/>
                <w:lang w:val="ru-RU"/>
              </w:rPr>
              <w:t xml:space="preserve"> разр</w:t>
            </w:r>
            <w:r w:rsidR="00D347F3" w:rsidRPr="00451F16">
              <w:rPr>
                <w:sz w:val="24"/>
                <w:szCs w:val="24"/>
                <w:lang w:val="ru-RU"/>
              </w:rPr>
              <w:t>а</w:t>
            </w:r>
            <w:r w:rsidR="00D347F3" w:rsidRPr="00451F16">
              <w:rPr>
                <w:sz w:val="24"/>
                <w:szCs w:val="24"/>
                <w:lang w:val="ru-RU"/>
              </w:rPr>
              <w:t>ботка и утверждение зака</w:t>
            </w:r>
            <w:r w:rsidR="00D347F3" w:rsidRPr="00451F16">
              <w:rPr>
                <w:sz w:val="24"/>
                <w:szCs w:val="24"/>
                <w:lang w:val="ru-RU"/>
              </w:rPr>
              <w:t>з</w:t>
            </w:r>
            <w:r w:rsidR="00D347F3" w:rsidRPr="00451F16">
              <w:rPr>
                <w:sz w:val="24"/>
                <w:szCs w:val="24"/>
                <w:lang w:val="ru-RU"/>
              </w:rPr>
              <w:t>чиками документации при осуществлении закупок конкурентными способами с нарушением Федеральн</w:t>
            </w:r>
            <w:r w:rsidR="00D347F3" w:rsidRPr="00451F16">
              <w:rPr>
                <w:sz w:val="24"/>
                <w:szCs w:val="24"/>
                <w:lang w:val="ru-RU"/>
              </w:rPr>
              <w:t>о</w:t>
            </w:r>
            <w:r w:rsidR="00D347F3" w:rsidRPr="00451F16">
              <w:rPr>
                <w:sz w:val="24"/>
                <w:szCs w:val="24"/>
                <w:lang w:val="ru-RU"/>
              </w:rPr>
              <w:t>го закона от 05 апреля 2013г. № 44-ФЗ «О ко</w:t>
            </w:r>
            <w:r w:rsidR="00D347F3" w:rsidRPr="00451F16">
              <w:rPr>
                <w:sz w:val="24"/>
                <w:szCs w:val="24"/>
                <w:lang w:val="ru-RU"/>
              </w:rPr>
              <w:t>н</w:t>
            </w:r>
            <w:r w:rsidR="00D347F3" w:rsidRPr="00451F16">
              <w:rPr>
                <w:sz w:val="24"/>
                <w:szCs w:val="24"/>
                <w:lang w:val="ru-RU"/>
              </w:rPr>
              <w:t>трактной системе в сфере закупок товаров, работ, у</w:t>
            </w:r>
            <w:r w:rsidR="00D347F3" w:rsidRPr="00451F16">
              <w:rPr>
                <w:sz w:val="24"/>
                <w:szCs w:val="24"/>
                <w:lang w:val="ru-RU"/>
              </w:rPr>
              <w:t>с</w:t>
            </w:r>
            <w:r w:rsidR="00D347F3" w:rsidRPr="00451F16">
              <w:rPr>
                <w:sz w:val="24"/>
                <w:szCs w:val="24"/>
                <w:lang w:val="ru-RU"/>
              </w:rPr>
              <w:t>луг для обеспечения гос</w:t>
            </w:r>
            <w:r w:rsidR="00D347F3" w:rsidRPr="00451F16">
              <w:rPr>
                <w:sz w:val="24"/>
                <w:szCs w:val="24"/>
                <w:lang w:val="ru-RU"/>
              </w:rPr>
              <w:t>у</w:t>
            </w:r>
            <w:r w:rsidR="00D347F3" w:rsidRPr="00451F16">
              <w:rPr>
                <w:sz w:val="24"/>
                <w:szCs w:val="24"/>
                <w:lang w:val="ru-RU"/>
              </w:rPr>
              <w:t>дарственных и муниц</w:t>
            </w:r>
            <w:r w:rsidR="00D347F3" w:rsidRPr="00451F16">
              <w:rPr>
                <w:sz w:val="24"/>
                <w:szCs w:val="24"/>
                <w:lang w:val="ru-RU"/>
              </w:rPr>
              <w:t>и</w:t>
            </w:r>
            <w:r w:rsidR="00D347F3" w:rsidRPr="00451F16">
              <w:rPr>
                <w:sz w:val="24"/>
                <w:szCs w:val="24"/>
                <w:lang w:val="ru-RU"/>
              </w:rPr>
              <w:t>пальных нужд»</w:t>
            </w:r>
          </w:p>
        </w:tc>
        <w:tc>
          <w:tcPr>
            <w:tcW w:w="3969" w:type="dxa"/>
          </w:tcPr>
          <w:p w:rsidR="009334E6" w:rsidRPr="00451F16" w:rsidRDefault="00D347F3" w:rsidP="00D347F3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451F16">
              <w:rPr>
                <w:sz w:val="24"/>
                <w:szCs w:val="24"/>
                <w:lang w:val="ru-RU"/>
              </w:rPr>
              <w:t>Мониторинг и анализ обращений в контролирующие органы физич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ских и юридических лиц по фактам нарушений законодательства о ко</w:t>
            </w:r>
            <w:r w:rsidRPr="00451F16">
              <w:rPr>
                <w:sz w:val="24"/>
                <w:szCs w:val="24"/>
                <w:lang w:val="ru-RU"/>
              </w:rPr>
              <w:t>н</w:t>
            </w:r>
            <w:r w:rsidRPr="00451F16">
              <w:rPr>
                <w:sz w:val="24"/>
                <w:szCs w:val="24"/>
                <w:lang w:val="ru-RU"/>
              </w:rPr>
              <w:t xml:space="preserve">трактной системе в сфере закупок; повышения уровня квалификации 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ответсвенных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 xml:space="preserve"> должностных лиц и работников местной администрации г.о. Баксан, проведение аппаратной учебы, направленной на минимиз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цию и устранение 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комплаенс-рисков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>, обзор изменений законод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тельства, о контрактной системе в сфере закупок </w:t>
            </w:r>
            <w:proofErr w:type="gramEnd"/>
          </w:p>
        </w:tc>
        <w:tc>
          <w:tcPr>
            <w:tcW w:w="1842" w:type="dxa"/>
          </w:tcPr>
          <w:p w:rsidR="009334E6" w:rsidRPr="00451F16" w:rsidRDefault="00131984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835" w:type="dxa"/>
          </w:tcPr>
          <w:p w:rsidR="009334E6" w:rsidRPr="00451F16" w:rsidRDefault="00131984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Отсутствие положений в документации о пров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дении закупки, в том числе проекта контракта, техническом задании, описании объекта заку</w:t>
            </w:r>
            <w:r w:rsidRPr="00451F16">
              <w:rPr>
                <w:sz w:val="24"/>
                <w:szCs w:val="24"/>
                <w:lang w:val="ru-RU"/>
              </w:rPr>
              <w:t>п</w:t>
            </w:r>
            <w:r w:rsidRPr="00451F16">
              <w:rPr>
                <w:sz w:val="24"/>
                <w:szCs w:val="24"/>
                <w:lang w:val="ru-RU"/>
              </w:rPr>
              <w:t>ки, которые могут пр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>вести к нарушению а</w:t>
            </w:r>
            <w:r w:rsidRPr="00451F16">
              <w:rPr>
                <w:sz w:val="24"/>
                <w:szCs w:val="24"/>
                <w:lang w:val="ru-RU"/>
              </w:rPr>
              <w:t>н</w:t>
            </w:r>
            <w:r w:rsidRPr="00451F16">
              <w:rPr>
                <w:sz w:val="24"/>
                <w:szCs w:val="24"/>
                <w:lang w:val="ru-RU"/>
              </w:rPr>
              <w:t>тимонопольного закон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дательства; подготовка документов при осущ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ствлении закупок для муниципальных нужд без нарушения антим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нопольного законод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 xml:space="preserve">тельства </w:t>
            </w:r>
          </w:p>
        </w:tc>
        <w:tc>
          <w:tcPr>
            <w:tcW w:w="2204" w:type="dxa"/>
          </w:tcPr>
          <w:p w:rsidR="00131984" w:rsidRPr="00451F16" w:rsidRDefault="00131984" w:rsidP="00131984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  <w:p w:rsidR="009334E6" w:rsidRPr="00451F16" w:rsidRDefault="00131984" w:rsidP="00131984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Отдел 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ЭАПиМЗ</w:t>
            </w:r>
            <w:proofErr w:type="spellEnd"/>
            <w:r w:rsidRPr="00451F16">
              <w:rPr>
                <w:sz w:val="24"/>
                <w:szCs w:val="24"/>
                <w:lang w:val="ru-RU"/>
              </w:rPr>
              <w:t xml:space="preserve"> местной админ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 xml:space="preserve">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</w:t>
            </w:r>
          </w:p>
        </w:tc>
      </w:tr>
      <w:tr w:rsidR="009334E6" w:rsidRPr="00B2591B" w:rsidTr="00FD7721">
        <w:tc>
          <w:tcPr>
            <w:tcW w:w="794" w:type="dxa"/>
          </w:tcPr>
          <w:p w:rsidR="009334E6" w:rsidRPr="00451F16" w:rsidRDefault="00131984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 xml:space="preserve">4. </w:t>
            </w:r>
          </w:p>
        </w:tc>
        <w:tc>
          <w:tcPr>
            <w:tcW w:w="3142" w:type="dxa"/>
          </w:tcPr>
          <w:p w:rsidR="009334E6" w:rsidRPr="00451F16" w:rsidRDefault="00131984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Выявление конфликта и</w:t>
            </w:r>
            <w:r w:rsidRPr="00451F16">
              <w:rPr>
                <w:sz w:val="24"/>
                <w:szCs w:val="24"/>
                <w:lang w:val="ru-RU"/>
              </w:rPr>
              <w:t>н</w:t>
            </w:r>
            <w:r w:rsidRPr="00451F16">
              <w:rPr>
                <w:sz w:val="24"/>
                <w:szCs w:val="24"/>
                <w:lang w:val="ru-RU"/>
              </w:rPr>
              <w:t>тересов в деятельности м</w:t>
            </w:r>
            <w:r w:rsidRPr="00451F16">
              <w:rPr>
                <w:sz w:val="24"/>
                <w:szCs w:val="24"/>
                <w:lang w:val="ru-RU"/>
              </w:rPr>
              <w:t>у</w:t>
            </w:r>
            <w:r w:rsidRPr="00451F16">
              <w:rPr>
                <w:sz w:val="24"/>
                <w:szCs w:val="24"/>
                <w:lang w:val="ru-RU"/>
              </w:rPr>
              <w:t xml:space="preserve">ниципальных служащих  местной администрации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 xml:space="preserve">.о. Баксан </w:t>
            </w:r>
          </w:p>
        </w:tc>
        <w:tc>
          <w:tcPr>
            <w:tcW w:w="3969" w:type="dxa"/>
          </w:tcPr>
          <w:p w:rsidR="009334E6" w:rsidRPr="00451F16" w:rsidRDefault="000A32E2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451F16">
              <w:rPr>
                <w:sz w:val="24"/>
                <w:szCs w:val="24"/>
                <w:lang w:val="ru-RU"/>
              </w:rPr>
              <w:t>Проведение вводного (первичного) инструктажа и ознакомление с о</w:t>
            </w:r>
            <w:r w:rsidRPr="00451F16">
              <w:rPr>
                <w:sz w:val="24"/>
                <w:szCs w:val="24"/>
                <w:lang w:val="ru-RU"/>
              </w:rPr>
              <w:t>с</w:t>
            </w:r>
            <w:r w:rsidRPr="00451F16">
              <w:rPr>
                <w:sz w:val="24"/>
                <w:szCs w:val="24"/>
                <w:lang w:val="ru-RU"/>
              </w:rPr>
              <w:t>новами антимонопольного закон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дательства и Положением об орг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>низации системы внутреннего обе</w:t>
            </w:r>
            <w:r w:rsidRPr="00451F16">
              <w:rPr>
                <w:sz w:val="24"/>
                <w:szCs w:val="24"/>
                <w:lang w:val="ru-RU"/>
              </w:rPr>
              <w:t>с</w:t>
            </w:r>
            <w:r w:rsidRPr="00451F16">
              <w:rPr>
                <w:sz w:val="24"/>
                <w:szCs w:val="24"/>
                <w:lang w:val="ru-RU"/>
              </w:rPr>
              <w:t>печения соответствия требованиям антимонопольного законодательс</w:t>
            </w:r>
            <w:r w:rsidRPr="00451F16">
              <w:rPr>
                <w:sz w:val="24"/>
                <w:szCs w:val="24"/>
                <w:lang w:val="ru-RU"/>
              </w:rPr>
              <w:t>т</w:t>
            </w:r>
            <w:r w:rsidRPr="00451F16">
              <w:rPr>
                <w:sz w:val="24"/>
                <w:szCs w:val="24"/>
                <w:lang w:val="ru-RU"/>
              </w:rPr>
              <w:lastRenderedPageBreak/>
              <w:t>ва в местной администрации г.о. Баксан, утвержденной постановл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нием главы местной администрации г.о. Баксан от 19.06.2019 № 623 (при поступлении на муниципальную службу) и про</w:t>
            </w:r>
            <w:r w:rsidR="00644E45" w:rsidRPr="00451F16">
              <w:rPr>
                <w:sz w:val="24"/>
                <w:szCs w:val="24"/>
                <w:lang w:val="ru-RU"/>
              </w:rPr>
              <w:t>ведение целевого (</w:t>
            </w:r>
            <w:r w:rsidRPr="00451F16">
              <w:rPr>
                <w:sz w:val="24"/>
                <w:szCs w:val="24"/>
                <w:lang w:val="ru-RU"/>
              </w:rPr>
              <w:t>внепланового) инструктажа (по мере необходимости);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 xml:space="preserve"> реализации мероприятий по выявление ко</w:t>
            </w:r>
            <w:r w:rsidRPr="00451F16">
              <w:rPr>
                <w:sz w:val="24"/>
                <w:szCs w:val="24"/>
                <w:lang w:val="ru-RU"/>
              </w:rPr>
              <w:t>н</w:t>
            </w:r>
            <w:r w:rsidRPr="00451F16">
              <w:rPr>
                <w:sz w:val="24"/>
                <w:szCs w:val="24"/>
                <w:lang w:val="ru-RU"/>
              </w:rPr>
              <w:t xml:space="preserve">фликта интересов в деятельности муниципальных служащих местной администрации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Баксан, обуч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ние муниципальных служащих м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стной администрации антимон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польного законодательства и ант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 xml:space="preserve">монопольного </w:t>
            </w:r>
            <w:proofErr w:type="spellStart"/>
            <w:r w:rsidRPr="00451F16">
              <w:rPr>
                <w:sz w:val="24"/>
                <w:szCs w:val="24"/>
                <w:lang w:val="ru-RU"/>
              </w:rPr>
              <w:t>комплаенса</w:t>
            </w:r>
            <w:proofErr w:type="spellEnd"/>
            <w:r w:rsidR="00644E45" w:rsidRPr="00451F1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9334E6" w:rsidRPr="00451F16" w:rsidRDefault="007778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9334E6" w:rsidRPr="00451F16" w:rsidRDefault="007778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Отсутствие в деятельн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t>сти муниципальных служащих местной а</w:t>
            </w:r>
            <w:r w:rsidRPr="00451F16">
              <w:rPr>
                <w:sz w:val="24"/>
                <w:szCs w:val="24"/>
                <w:lang w:val="ru-RU"/>
              </w:rPr>
              <w:t>д</w:t>
            </w:r>
            <w:r w:rsidRPr="00451F16">
              <w:rPr>
                <w:sz w:val="24"/>
                <w:szCs w:val="24"/>
                <w:lang w:val="ru-RU"/>
              </w:rPr>
              <w:t xml:space="preserve">министрации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 с правами юридического лица конфликта интер</w:t>
            </w:r>
            <w:r w:rsidRPr="00451F16">
              <w:rPr>
                <w:sz w:val="24"/>
                <w:szCs w:val="24"/>
                <w:lang w:val="ru-RU"/>
              </w:rPr>
              <w:t>е</w:t>
            </w:r>
            <w:r w:rsidRPr="00451F16">
              <w:rPr>
                <w:sz w:val="24"/>
                <w:szCs w:val="24"/>
                <w:lang w:val="ru-RU"/>
              </w:rPr>
              <w:t>сов, который может п</w:t>
            </w:r>
            <w:r w:rsidRPr="00451F16">
              <w:rPr>
                <w:sz w:val="24"/>
                <w:szCs w:val="24"/>
                <w:lang w:val="ru-RU"/>
              </w:rPr>
              <w:t>о</w:t>
            </w:r>
            <w:r w:rsidRPr="00451F16">
              <w:rPr>
                <w:sz w:val="24"/>
                <w:szCs w:val="24"/>
                <w:lang w:val="ru-RU"/>
              </w:rPr>
              <w:lastRenderedPageBreak/>
              <w:t>влечь нарушение ант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>монопольного законод</w:t>
            </w:r>
            <w:r w:rsidRPr="00451F16">
              <w:rPr>
                <w:sz w:val="24"/>
                <w:szCs w:val="24"/>
                <w:lang w:val="ru-RU"/>
              </w:rPr>
              <w:t>а</w:t>
            </w:r>
            <w:r w:rsidRPr="00451F16">
              <w:rPr>
                <w:sz w:val="24"/>
                <w:szCs w:val="24"/>
                <w:lang w:val="ru-RU"/>
              </w:rPr>
              <w:t>тельства</w:t>
            </w:r>
          </w:p>
        </w:tc>
        <w:tc>
          <w:tcPr>
            <w:tcW w:w="2204" w:type="dxa"/>
          </w:tcPr>
          <w:p w:rsidR="009334E6" w:rsidRPr="00451F16" w:rsidRDefault="00451F1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lastRenderedPageBreak/>
              <w:t>Отдел кадров</w:t>
            </w:r>
            <w:r w:rsidR="007778B0" w:rsidRPr="00451F16">
              <w:rPr>
                <w:sz w:val="24"/>
                <w:szCs w:val="24"/>
                <w:lang w:val="ru-RU"/>
              </w:rPr>
              <w:t xml:space="preserve"> м</w:t>
            </w:r>
            <w:r w:rsidR="007778B0" w:rsidRPr="00451F16">
              <w:rPr>
                <w:sz w:val="24"/>
                <w:szCs w:val="24"/>
                <w:lang w:val="ru-RU"/>
              </w:rPr>
              <w:t>е</w:t>
            </w:r>
            <w:r w:rsidR="007778B0" w:rsidRPr="00451F16">
              <w:rPr>
                <w:sz w:val="24"/>
                <w:szCs w:val="24"/>
                <w:lang w:val="ru-RU"/>
              </w:rPr>
              <w:t>стной администр</w:t>
            </w:r>
            <w:r w:rsidR="007778B0" w:rsidRPr="00451F16">
              <w:rPr>
                <w:sz w:val="24"/>
                <w:szCs w:val="24"/>
                <w:lang w:val="ru-RU"/>
              </w:rPr>
              <w:t>а</w:t>
            </w:r>
            <w:r w:rsidR="007778B0" w:rsidRPr="00451F16">
              <w:rPr>
                <w:sz w:val="24"/>
                <w:szCs w:val="24"/>
                <w:lang w:val="ru-RU"/>
              </w:rPr>
              <w:t xml:space="preserve">ции </w:t>
            </w:r>
            <w:proofErr w:type="gramStart"/>
            <w:r w:rsidR="007778B0"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="007778B0" w:rsidRPr="00451F16">
              <w:rPr>
                <w:sz w:val="24"/>
                <w:szCs w:val="24"/>
                <w:lang w:val="ru-RU"/>
              </w:rPr>
              <w:t>.о. Баксан</w:t>
            </w:r>
          </w:p>
          <w:p w:rsidR="007778B0" w:rsidRPr="00451F16" w:rsidRDefault="007778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  <w:p w:rsidR="00451F16" w:rsidRPr="00451F16" w:rsidRDefault="00451F1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  <w:p w:rsidR="00451F16" w:rsidRPr="00451F16" w:rsidRDefault="00451F16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  <w:p w:rsidR="007778B0" w:rsidRPr="00451F16" w:rsidRDefault="007778B0" w:rsidP="007778B0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51F16">
              <w:rPr>
                <w:sz w:val="24"/>
                <w:szCs w:val="24"/>
                <w:lang w:val="ru-RU"/>
              </w:rPr>
              <w:t>Административно-</w:t>
            </w:r>
            <w:r w:rsidRPr="00451F16">
              <w:rPr>
                <w:sz w:val="24"/>
                <w:szCs w:val="24"/>
                <w:lang w:val="ru-RU"/>
              </w:rPr>
              <w:lastRenderedPageBreak/>
              <w:t>правовой отдел местной админ</w:t>
            </w:r>
            <w:r w:rsidRPr="00451F16">
              <w:rPr>
                <w:sz w:val="24"/>
                <w:szCs w:val="24"/>
                <w:lang w:val="ru-RU"/>
              </w:rPr>
              <w:t>и</w:t>
            </w:r>
            <w:r w:rsidRPr="00451F16">
              <w:rPr>
                <w:sz w:val="24"/>
                <w:szCs w:val="24"/>
                <w:lang w:val="ru-RU"/>
              </w:rPr>
              <w:t xml:space="preserve">страции </w:t>
            </w:r>
            <w:proofErr w:type="gramStart"/>
            <w:r w:rsidRPr="00451F1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451F16">
              <w:rPr>
                <w:sz w:val="24"/>
                <w:szCs w:val="24"/>
                <w:lang w:val="ru-RU"/>
              </w:rPr>
              <w:t>.о. Баксан</w:t>
            </w:r>
          </w:p>
          <w:p w:rsidR="007778B0" w:rsidRPr="00451F16" w:rsidRDefault="007778B0" w:rsidP="00DC6426">
            <w:pPr>
              <w:pStyle w:val="24"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:rsidR="00646B74" w:rsidRPr="00FD7721" w:rsidRDefault="00646B74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Pr="00FD7721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8"/>
          <w:szCs w:val="28"/>
          <w:lang w:val="ru-RU"/>
        </w:rPr>
      </w:pPr>
    </w:p>
    <w:p w:rsidR="00122CB0" w:rsidRDefault="00122CB0" w:rsidP="00DC6426">
      <w:pPr>
        <w:pStyle w:val="24"/>
        <w:shd w:val="clear" w:color="auto" w:fill="auto"/>
        <w:spacing w:before="0" w:after="0" w:line="240" w:lineRule="auto"/>
        <w:contextualSpacing/>
        <w:rPr>
          <w:sz w:val="24"/>
          <w:szCs w:val="24"/>
          <w:lang w:val="ru-RU"/>
        </w:rPr>
      </w:pPr>
    </w:p>
    <w:sectPr w:rsidR="00122CB0" w:rsidSect="00CF592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E8"/>
    <w:multiLevelType w:val="hybridMultilevel"/>
    <w:tmpl w:val="D2B2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611C"/>
    <w:multiLevelType w:val="hybridMultilevel"/>
    <w:tmpl w:val="0D1409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C3205"/>
    <w:multiLevelType w:val="multilevel"/>
    <w:tmpl w:val="5E10F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927D3"/>
    <w:multiLevelType w:val="hybridMultilevel"/>
    <w:tmpl w:val="9E54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70925"/>
    <w:multiLevelType w:val="multilevel"/>
    <w:tmpl w:val="0C72D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E20344"/>
    <w:multiLevelType w:val="hybridMultilevel"/>
    <w:tmpl w:val="04DE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F7157"/>
    <w:rsid w:val="0000161E"/>
    <w:rsid w:val="00015CB2"/>
    <w:rsid w:val="00026FE7"/>
    <w:rsid w:val="00043F6D"/>
    <w:rsid w:val="0005273C"/>
    <w:rsid w:val="000A32E2"/>
    <w:rsid w:val="000B2421"/>
    <w:rsid w:val="000B5BA8"/>
    <w:rsid w:val="000D5044"/>
    <w:rsid w:val="00120C3E"/>
    <w:rsid w:val="00121C42"/>
    <w:rsid w:val="00122CB0"/>
    <w:rsid w:val="00131984"/>
    <w:rsid w:val="00153F55"/>
    <w:rsid w:val="00173EC5"/>
    <w:rsid w:val="001E1B6E"/>
    <w:rsid w:val="00204557"/>
    <w:rsid w:val="0022671A"/>
    <w:rsid w:val="00235979"/>
    <w:rsid w:val="002458F8"/>
    <w:rsid w:val="00245AFF"/>
    <w:rsid w:val="00280451"/>
    <w:rsid w:val="00294977"/>
    <w:rsid w:val="00294B67"/>
    <w:rsid w:val="0029649D"/>
    <w:rsid w:val="002B5B6C"/>
    <w:rsid w:val="002D7C52"/>
    <w:rsid w:val="002F7AEA"/>
    <w:rsid w:val="0031074F"/>
    <w:rsid w:val="003172D5"/>
    <w:rsid w:val="00342CF3"/>
    <w:rsid w:val="0038323D"/>
    <w:rsid w:val="0038730D"/>
    <w:rsid w:val="003C03E7"/>
    <w:rsid w:val="003C7114"/>
    <w:rsid w:val="003E0EA0"/>
    <w:rsid w:val="003E0F12"/>
    <w:rsid w:val="003E3AED"/>
    <w:rsid w:val="0044185A"/>
    <w:rsid w:val="00447A54"/>
    <w:rsid w:val="00451F16"/>
    <w:rsid w:val="00454712"/>
    <w:rsid w:val="004553D4"/>
    <w:rsid w:val="004A153B"/>
    <w:rsid w:val="00517876"/>
    <w:rsid w:val="00526FBD"/>
    <w:rsid w:val="00554203"/>
    <w:rsid w:val="00582566"/>
    <w:rsid w:val="00595705"/>
    <w:rsid w:val="005A641B"/>
    <w:rsid w:val="005C47AC"/>
    <w:rsid w:val="005F642C"/>
    <w:rsid w:val="005F71C8"/>
    <w:rsid w:val="006037AC"/>
    <w:rsid w:val="00644E45"/>
    <w:rsid w:val="00646B74"/>
    <w:rsid w:val="006607C6"/>
    <w:rsid w:val="00672449"/>
    <w:rsid w:val="00680668"/>
    <w:rsid w:val="006832E4"/>
    <w:rsid w:val="006D0742"/>
    <w:rsid w:val="0070085B"/>
    <w:rsid w:val="00754358"/>
    <w:rsid w:val="007778B0"/>
    <w:rsid w:val="00781572"/>
    <w:rsid w:val="007A6B19"/>
    <w:rsid w:val="007A7AC6"/>
    <w:rsid w:val="007D0887"/>
    <w:rsid w:val="007D14C7"/>
    <w:rsid w:val="007E6EB0"/>
    <w:rsid w:val="00827853"/>
    <w:rsid w:val="008375E1"/>
    <w:rsid w:val="00837E4A"/>
    <w:rsid w:val="00841A9F"/>
    <w:rsid w:val="00847AE9"/>
    <w:rsid w:val="00912CA1"/>
    <w:rsid w:val="009147BD"/>
    <w:rsid w:val="0092158D"/>
    <w:rsid w:val="009334E6"/>
    <w:rsid w:val="009C1917"/>
    <w:rsid w:val="00A50F31"/>
    <w:rsid w:val="00A63E72"/>
    <w:rsid w:val="00A86881"/>
    <w:rsid w:val="00A91E63"/>
    <w:rsid w:val="00AB0DEE"/>
    <w:rsid w:val="00AD7196"/>
    <w:rsid w:val="00AF4432"/>
    <w:rsid w:val="00B2591B"/>
    <w:rsid w:val="00B56A2E"/>
    <w:rsid w:val="00B70147"/>
    <w:rsid w:val="00BC27CE"/>
    <w:rsid w:val="00C41FAC"/>
    <w:rsid w:val="00C57424"/>
    <w:rsid w:val="00C8586A"/>
    <w:rsid w:val="00C94D58"/>
    <w:rsid w:val="00C962F0"/>
    <w:rsid w:val="00CB7B80"/>
    <w:rsid w:val="00CD6A52"/>
    <w:rsid w:val="00CF592B"/>
    <w:rsid w:val="00D04617"/>
    <w:rsid w:val="00D347F3"/>
    <w:rsid w:val="00D80818"/>
    <w:rsid w:val="00DA6281"/>
    <w:rsid w:val="00DC0A8E"/>
    <w:rsid w:val="00DC6426"/>
    <w:rsid w:val="00E3258B"/>
    <w:rsid w:val="00E36E69"/>
    <w:rsid w:val="00E426FA"/>
    <w:rsid w:val="00EF7157"/>
    <w:rsid w:val="00F570AC"/>
    <w:rsid w:val="00F64554"/>
    <w:rsid w:val="00FD40B5"/>
    <w:rsid w:val="00FD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7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597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97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97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97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97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97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97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97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97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97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359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359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359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9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9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359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359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3597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597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3597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3597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3597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3597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35979"/>
    <w:rPr>
      <w:b/>
      <w:bCs/>
      <w:spacing w:val="0"/>
    </w:rPr>
  </w:style>
  <w:style w:type="character" w:styleId="a9">
    <w:name w:val="Emphasis"/>
    <w:uiPriority w:val="20"/>
    <w:qFormat/>
    <w:rsid w:val="0023597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359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359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597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3597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3597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3597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359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3597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3597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3597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3597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35979"/>
    <w:pPr>
      <w:outlineLvl w:val="9"/>
    </w:pPr>
  </w:style>
  <w:style w:type="character" w:customStyle="1" w:styleId="31">
    <w:name w:val="Основной текст (3)_"/>
    <w:basedOn w:val="a0"/>
    <w:link w:val="32"/>
    <w:rsid w:val="00EF715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95pt">
    <w:name w:val="Основной текст (3) + 9;5 pt"/>
    <w:basedOn w:val="31"/>
    <w:rsid w:val="00EF715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EF71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7157"/>
    <w:pPr>
      <w:widowControl w:val="0"/>
      <w:shd w:val="clear" w:color="auto" w:fill="FFFFFF"/>
      <w:spacing w:after="120" w:line="192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16"/>
      <w:szCs w:val="16"/>
    </w:rPr>
  </w:style>
  <w:style w:type="paragraph" w:customStyle="1" w:styleId="24">
    <w:name w:val="Основной текст (2)"/>
    <w:basedOn w:val="a"/>
    <w:link w:val="23"/>
    <w:rsid w:val="00EF7157"/>
    <w:pPr>
      <w:widowControl w:val="0"/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  <w:i w:val="0"/>
      <w:iCs w:val="0"/>
      <w:sz w:val="16"/>
      <w:szCs w:val="16"/>
    </w:rPr>
  </w:style>
  <w:style w:type="character" w:customStyle="1" w:styleId="216pt">
    <w:name w:val="Основной текст (2) + 16 pt;Полужирный;Курсив"/>
    <w:basedOn w:val="23"/>
    <w:rsid w:val="00EF7157"/>
    <w:rPr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FontStyle14">
    <w:name w:val="Font Style14"/>
    <w:rsid w:val="002458F8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uiPriority w:val="59"/>
    <w:rsid w:val="005F7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basedOn w:val="a0"/>
    <w:rsid w:val="00582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582566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link w:val="11"/>
    <w:uiPriority w:val="99"/>
    <w:locked/>
    <w:rsid w:val="0058256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582566"/>
    <w:pPr>
      <w:shd w:val="clear" w:color="auto" w:fill="FFFFFF"/>
      <w:spacing w:before="360" w:after="0" w:line="298" w:lineRule="exact"/>
      <w:jc w:val="both"/>
    </w:pPr>
    <w:rPr>
      <w:i w:val="0"/>
      <w:iCs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FangSong"/>
        <a:ea typeface=""/>
        <a:cs typeface=""/>
      </a:majorFont>
      <a:minorFont>
        <a:latin typeface="Constant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6DFB-A437-4E55-880C-CA41CDF4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</dc:creator>
  <cp:lastModifiedBy>Альбина</cp:lastModifiedBy>
  <cp:revision>54</cp:revision>
  <cp:lastPrinted>2024-01-11T07:58:00Z</cp:lastPrinted>
  <dcterms:created xsi:type="dcterms:W3CDTF">2021-01-29T11:52:00Z</dcterms:created>
  <dcterms:modified xsi:type="dcterms:W3CDTF">2024-01-26T12:25:00Z</dcterms:modified>
</cp:coreProperties>
</file>